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299006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fr-CH"/>
        </w:rPr>
      </w:sdtEndPr>
      <w:sdtContent>
        <w:p w:rsidR="009A2CAA" w:rsidRDefault="009A2CAA">
          <w:pPr>
            <w:pStyle w:val="TOCHeading"/>
          </w:pPr>
          <w:r>
            <w:t>Contents</w:t>
          </w:r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Pr="009A2CAA">
            <w:rPr>
              <w:lang w:val="en-GB"/>
            </w:rPr>
            <w:instrText xml:space="preserve"> TOC \o "1-3" \h \z \u </w:instrText>
          </w:r>
          <w:r>
            <w:fldChar w:fldCharType="separate"/>
          </w:r>
          <w:hyperlink w:anchor="_Toc131363063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I. 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64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II.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65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III. Current Procurement Landscape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66" w:history="1">
            <w:r w:rsidRPr="004E217D">
              <w:rPr>
                <w:rStyle w:val="Hyperlink"/>
                <w:noProof/>
              </w:rPr>
              <w:t>A. Strengths and Weaknesses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67" w:history="1">
            <w:r w:rsidRPr="004E217D">
              <w:rPr>
                <w:rStyle w:val="Hyperlink"/>
                <w:noProof/>
              </w:rPr>
              <w:t>B. Opportunities for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68" w:history="1">
            <w:r w:rsidRPr="004E217D">
              <w:rPr>
                <w:rStyle w:val="Hyperlink"/>
                <w:noProof/>
              </w:rPr>
              <w:t>C. Potential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69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IV. Procurement Goals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70" w:history="1">
            <w:r w:rsidRPr="004E217D">
              <w:rPr>
                <w:rStyle w:val="Hyperlink"/>
                <w:noProof/>
              </w:rPr>
              <w:t>A. Procurement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71" w:history="1">
            <w:r w:rsidRPr="004E217D">
              <w:rPr>
                <w:rStyle w:val="Hyperlink"/>
                <w:noProof/>
              </w:rPr>
              <w:t>B. Objectives Alignment with Overall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72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V. Spend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73" w:history="1">
            <w:r w:rsidRPr="004E217D">
              <w:rPr>
                <w:rStyle w:val="Hyperlink"/>
                <w:noProof/>
              </w:rPr>
              <w:t>A. Cost Savings Opportunities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74" w:history="1">
            <w:r w:rsidRPr="004E217D">
              <w:rPr>
                <w:rStyle w:val="Hyperlink"/>
                <w:noProof/>
              </w:rPr>
              <w:t>B. Supplier Consolidation Opportunities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75" w:history="1">
            <w:r w:rsidRPr="004E217D">
              <w:rPr>
                <w:rStyle w:val="Hyperlink"/>
                <w:noProof/>
              </w:rPr>
              <w:t>C. Contract Optimization Opportunities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76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VI. Risk 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77" w:history="1">
            <w:r w:rsidRPr="004E217D">
              <w:rPr>
                <w:rStyle w:val="Hyperlink"/>
                <w:noProof/>
              </w:rPr>
              <w:t>A. Supplier Risk Managemen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78" w:history="1">
            <w:r w:rsidRPr="004E217D">
              <w:rPr>
                <w:rStyle w:val="Hyperlink"/>
                <w:noProof/>
              </w:rPr>
              <w:t>B. Contract 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79" w:history="1">
            <w:r w:rsidRPr="004E217D">
              <w:rPr>
                <w:rStyle w:val="Hyperlink"/>
                <w:noProof/>
              </w:rPr>
              <w:t>C. Operational 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80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VII. Procurement Process Optimization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81" w:history="1">
            <w:r w:rsidRPr="004E217D">
              <w:rPr>
                <w:rStyle w:val="Hyperlink"/>
                <w:noProof/>
              </w:rPr>
              <w:t>A. Streamlining Procurement Processes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82" w:history="1">
            <w:r w:rsidRPr="004E217D">
              <w:rPr>
                <w:rStyle w:val="Hyperlink"/>
                <w:noProof/>
              </w:rPr>
              <w:t>B. Reducing Manual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83" w:history="1">
            <w:r w:rsidRPr="004E217D">
              <w:rPr>
                <w:rStyle w:val="Hyperlink"/>
                <w:noProof/>
              </w:rPr>
              <w:t>C. Leveraging Advanced Technologies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84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VIII. Supplier Relationship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85" w:history="1">
            <w:r w:rsidRPr="004E217D">
              <w:rPr>
                <w:rStyle w:val="Hyperlink"/>
                <w:noProof/>
              </w:rPr>
              <w:t>A. Supplier Performance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86" w:history="1">
            <w:r w:rsidRPr="004E217D">
              <w:rPr>
                <w:rStyle w:val="Hyperlink"/>
                <w:noProof/>
              </w:rPr>
              <w:t>B. Innovation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87" w:history="1">
            <w:r w:rsidRPr="004E217D">
              <w:rPr>
                <w:rStyle w:val="Hyperlink"/>
                <w:noProof/>
              </w:rPr>
              <w:t>C. Continuous Improvement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88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IX. Procurement Performance Monitoring and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89" w:history="1">
            <w:r w:rsidRPr="004E217D">
              <w:rPr>
                <w:rStyle w:val="Hyperlink"/>
                <w:noProof/>
              </w:rPr>
              <w:t>A. Key Performance Indicators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90" w:history="1">
            <w:r w:rsidRPr="004E217D">
              <w:rPr>
                <w:rStyle w:val="Hyperlink"/>
                <w:noProof/>
              </w:rPr>
              <w:t>B. Impact on Overall Performance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131363091" w:history="1">
            <w:r w:rsidRPr="004E217D">
              <w:rPr>
                <w:rStyle w:val="Hyperlink"/>
                <w:rFonts w:eastAsia="Times New Roman"/>
                <w:noProof/>
                <w:lang w:val="en-GB" w:eastAsia="fr-CH"/>
              </w:rPr>
              <w:t>X.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92" w:history="1">
            <w:r w:rsidRPr="004E217D">
              <w:rPr>
                <w:rStyle w:val="Hyperlink"/>
                <w:noProof/>
              </w:rPr>
              <w:t>A. Procurement Strategy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93" w:history="1">
            <w:r w:rsidRPr="004E217D">
              <w:rPr>
                <w:rStyle w:val="Hyperlink"/>
                <w:noProof/>
              </w:rPr>
              <w:t>B. Expected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Default="009A2CAA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131363094" w:history="1">
            <w:r w:rsidRPr="004E217D">
              <w:rPr>
                <w:rStyle w:val="Hyperlink"/>
                <w:noProof/>
              </w:rPr>
              <w:t>C. Alignment with Overall Goals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_Toc131363094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2CAA" w:rsidRPr="009A2CAA" w:rsidRDefault="009A2CAA">
          <w:pPr>
            <w:rPr>
              <w:lang w:val="en-GB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93B0A" w:rsidRPr="009A2CAA" w:rsidRDefault="009A2CAA">
      <w:pPr>
        <w:rPr>
          <w:lang w:val="en-GB"/>
        </w:rPr>
      </w:pPr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0" w:name="_Toc131363063"/>
      <w:bookmarkStart w:id="1" w:name="_GoBack"/>
      <w:bookmarkEnd w:id="1"/>
      <w:r w:rsidRPr="009A2CAA">
        <w:rPr>
          <w:rFonts w:eastAsia="Times New Roman"/>
          <w:lang w:val="en-GB" w:eastAsia="fr-CH"/>
        </w:rPr>
        <w:lastRenderedPageBreak/>
        <w:t>I. Executive Summary</w:t>
      </w:r>
      <w:bookmarkEnd w:id="0"/>
    </w:p>
    <w:p w:rsidR="009A2CAA" w:rsidRP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high-level overview of the procurement strategy, including key objectives, KPIs, and expected outcomes.</w:t>
      </w:r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2" w:name="_Toc131363064"/>
      <w:r w:rsidRPr="009A2CAA">
        <w:rPr>
          <w:rFonts w:eastAsia="Times New Roman"/>
          <w:lang w:val="en-GB" w:eastAsia="fr-CH"/>
        </w:rPr>
        <w:t>II. Introduction</w:t>
      </w:r>
      <w:bookmarkEnd w:id="2"/>
    </w:p>
    <w:p w:rsidR="009A2CAA" w:rsidRP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brief description of the organization and its procurement process.</w:t>
      </w:r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3" w:name="_Toc131363065"/>
      <w:r w:rsidRPr="009A2CAA">
        <w:rPr>
          <w:rFonts w:eastAsia="Times New Roman"/>
          <w:lang w:val="en-GB" w:eastAsia="fr-CH"/>
        </w:rPr>
        <w:t>III. Current Procurement Landscape</w:t>
      </w:r>
      <w:bookmarkEnd w:id="3"/>
    </w:p>
    <w:p w:rsid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detailed analysis of the organization's current procurement process, including strengths and weaknesses, opportunities for improvement, and potential risks.</w:t>
      </w:r>
    </w:p>
    <w:p w:rsidR="009A2CAA" w:rsidRDefault="009A2CAA" w:rsidP="009A2CAA">
      <w:pPr>
        <w:pStyle w:val="Heading2"/>
        <w:rPr>
          <w:rStyle w:val="Heading2Char"/>
        </w:rPr>
      </w:pPr>
      <w:bookmarkStart w:id="4" w:name="_Toc131363066"/>
      <w:r w:rsidRPr="009A2CAA">
        <w:rPr>
          <w:rStyle w:val="Heading2Char"/>
        </w:rPr>
        <w:t>A. Strengths and Weaknesses</w:t>
      </w:r>
      <w:bookmarkEnd w:id="4"/>
    </w:p>
    <w:p w:rsidR="009A2CAA" w:rsidRDefault="009A2CAA" w:rsidP="009A2CAA">
      <w:pPr>
        <w:pStyle w:val="Heading2"/>
        <w:rPr>
          <w:rStyle w:val="Heading2Char"/>
        </w:rPr>
      </w:pPr>
      <w:bookmarkStart w:id="5" w:name="_Toc131363067"/>
      <w:r w:rsidRPr="009A2CAA">
        <w:rPr>
          <w:rStyle w:val="Heading2Char"/>
        </w:rPr>
        <w:t>B. Opportunities for Improvement</w:t>
      </w:r>
      <w:bookmarkEnd w:id="5"/>
    </w:p>
    <w:p w:rsidR="009A2CAA" w:rsidRPr="009A2CAA" w:rsidRDefault="009A2CAA" w:rsidP="009A2CAA">
      <w:pPr>
        <w:pStyle w:val="Heading2"/>
        <w:rPr>
          <w:rFonts w:ascii="inherit" w:hAnsi="inherit" w:cs="Times New Roman"/>
          <w:color w:val="15171A"/>
          <w:sz w:val="30"/>
          <w:szCs w:val="30"/>
        </w:rPr>
      </w:pPr>
      <w:bookmarkStart w:id="6" w:name="_Toc131363068"/>
      <w:r w:rsidRPr="009A2CAA">
        <w:rPr>
          <w:rStyle w:val="Heading2Char"/>
        </w:rPr>
        <w:t>C. Potential Risks</w:t>
      </w:r>
      <w:bookmarkEnd w:id="6"/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7" w:name="_Toc131363069"/>
      <w:r w:rsidRPr="009A2CAA">
        <w:rPr>
          <w:rFonts w:eastAsia="Times New Roman"/>
          <w:lang w:val="en-GB" w:eastAsia="fr-CH"/>
        </w:rPr>
        <w:t>IV. Procurement Goals and Objectives</w:t>
      </w:r>
      <w:bookmarkEnd w:id="7"/>
    </w:p>
    <w:p w:rsid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15171A"/>
          <w:sz w:val="30"/>
          <w:szCs w:val="30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clear definition of the organization's procurement goals and objectives, including how they align with the organization's overall strategy.</w:t>
      </w:r>
    </w:p>
    <w:p w:rsidR="009A2CAA" w:rsidRPr="009A2CAA" w:rsidRDefault="009A2CAA" w:rsidP="009A2CAA">
      <w:pPr>
        <w:pStyle w:val="Heading2"/>
      </w:pPr>
      <w:bookmarkStart w:id="8" w:name="_Toc131363070"/>
      <w:r w:rsidRPr="009A2CAA">
        <w:t>A. Procurement Goals</w:t>
      </w:r>
      <w:bookmarkEnd w:id="8"/>
    </w:p>
    <w:p w:rsidR="009A2CAA" w:rsidRPr="009A2CAA" w:rsidRDefault="009A2CAA" w:rsidP="009A2CAA">
      <w:pPr>
        <w:pStyle w:val="Heading2"/>
      </w:pPr>
      <w:bookmarkStart w:id="9" w:name="_Toc131363071"/>
      <w:r w:rsidRPr="009A2CAA">
        <w:t>B. Objectives Alignment with Overall Strategy</w:t>
      </w:r>
      <w:bookmarkEnd w:id="9"/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10" w:name="_Toc131363072"/>
      <w:r w:rsidRPr="009A2CAA">
        <w:rPr>
          <w:rFonts w:eastAsia="Times New Roman"/>
          <w:lang w:val="en-GB" w:eastAsia="fr-CH"/>
        </w:rPr>
        <w:t>V. Spend Analysis</w:t>
      </w:r>
      <w:bookmarkEnd w:id="10"/>
    </w:p>
    <w:p w:rsidR="009A2CAA" w:rsidRDefault="009A2CAA" w:rsidP="009A2CAA">
      <w:pPr>
        <w:shd w:val="clear" w:color="auto" w:fill="FFFFFF"/>
        <w:spacing w:after="0" w:line="384" w:lineRule="atLeast"/>
        <w:textAlignment w:val="baseline"/>
        <w:rPr>
          <w:rStyle w:val="Heading2Char"/>
          <w:rFonts w:eastAsiaTheme="minorHAnsi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 xml:space="preserve">A detailed analysis of the </w:t>
      </w:r>
      <w:proofErr w:type="gramStart"/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organization's</w:t>
      </w:r>
      <w:proofErr w:type="gramEnd"/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 xml:space="preserve"> spend data, including opportunities for cost savings, supplier consolidation, and contract optimization.</w:t>
      </w:r>
    </w:p>
    <w:p w:rsidR="009A2CAA" w:rsidRPr="009A2CAA" w:rsidRDefault="009A2CAA" w:rsidP="009A2CAA">
      <w:pPr>
        <w:shd w:val="clear" w:color="auto" w:fill="FFFFFF"/>
        <w:spacing w:after="0" w:line="384" w:lineRule="atLeast"/>
        <w:ind w:firstLine="708"/>
        <w:textAlignment w:val="baseline"/>
        <w:rPr>
          <w:rStyle w:val="Heading2Char"/>
          <w:rFonts w:ascii="inherit" w:hAnsi="inherit" w:cs="Times New Roman"/>
          <w:color w:val="15171A"/>
          <w:sz w:val="30"/>
          <w:szCs w:val="30"/>
        </w:rPr>
      </w:pPr>
      <w:bookmarkStart w:id="11" w:name="_Toc131363073"/>
      <w:r w:rsidRPr="009A2CAA">
        <w:rPr>
          <w:rStyle w:val="Heading2Char"/>
          <w:rFonts w:eastAsiaTheme="minorHAnsi"/>
        </w:rPr>
        <w:t>A. Cost Savings Opportunities</w:t>
      </w:r>
      <w:bookmarkEnd w:id="11"/>
    </w:p>
    <w:p w:rsidR="009A2CAA" w:rsidRPr="009A2CAA" w:rsidRDefault="009A2CAA" w:rsidP="009A2CAA">
      <w:pPr>
        <w:shd w:val="clear" w:color="auto" w:fill="FFFFFF"/>
        <w:spacing w:after="0" w:line="384" w:lineRule="atLeast"/>
        <w:ind w:left="720"/>
        <w:textAlignment w:val="baseline"/>
        <w:rPr>
          <w:rStyle w:val="Heading2Char"/>
          <w:rFonts w:ascii="inherit" w:hAnsi="inherit" w:cs="Times New Roman"/>
          <w:color w:val="15171A"/>
          <w:sz w:val="30"/>
          <w:szCs w:val="30"/>
        </w:rPr>
      </w:pPr>
      <w:bookmarkStart w:id="12" w:name="_Toc131363074"/>
      <w:r w:rsidRPr="009A2CAA">
        <w:rPr>
          <w:rStyle w:val="Heading2Char"/>
          <w:rFonts w:eastAsiaTheme="minorHAnsi"/>
        </w:rPr>
        <w:t>B. Supplier Consolidation Opportunities</w:t>
      </w:r>
      <w:bookmarkEnd w:id="12"/>
    </w:p>
    <w:p w:rsidR="009A2CAA" w:rsidRPr="009A2CAA" w:rsidRDefault="009A2CAA" w:rsidP="009A2CAA">
      <w:pPr>
        <w:shd w:val="clear" w:color="auto" w:fill="FFFFFF"/>
        <w:spacing w:after="0" w:line="384" w:lineRule="atLeast"/>
        <w:ind w:left="720"/>
        <w:textAlignment w:val="baseline"/>
        <w:rPr>
          <w:rFonts w:ascii="inherit" w:eastAsia="Times New Roman" w:hAnsi="inherit" w:cs="Times New Roman"/>
          <w:color w:val="15171A"/>
          <w:sz w:val="30"/>
          <w:szCs w:val="30"/>
          <w:lang w:val="en-GB" w:eastAsia="fr-CH"/>
        </w:rPr>
      </w:pPr>
      <w:bookmarkStart w:id="13" w:name="_Toc131363075"/>
      <w:r w:rsidRPr="009A2CAA">
        <w:rPr>
          <w:rStyle w:val="Heading2Char"/>
          <w:rFonts w:eastAsiaTheme="minorHAnsi"/>
        </w:rPr>
        <w:t>C. Contract Optimization Opportunities</w:t>
      </w:r>
      <w:bookmarkEnd w:id="13"/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14" w:name="_Toc131363076"/>
      <w:r w:rsidRPr="009A2CAA">
        <w:rPr>
          <w:rFonts w:eastAsia="Times New Roman"/>
          <w:lang w:val="en-GB" w:eastAsia="fr-CH"/>
        </w:rPr>
        <w:t>VI. Risk Management Plan</w:t>
      </w:r>
      <w:bookmarkEnd w:id="14"/>
    </w:p>
    <w:p w:rsid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15171A"/>
          <w:sz w:val="30"/>
          <w:szCs w:val="30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comprehensive plan for managing procurement risks, including supplier risk, contract risk, and operational risk.</w:t>
      </w:r>
    </w:p>
    <w:p w:rsidR="009A2CAA" w:rsidRDefault="009A2CAA" w:rsidP="009A2CAA">
      <w:pPr>
        <w:pStyle w:val="Heading2"/>
      </w:pPr>
      <w:bookmarkStart w:id="15" w:name="_Toc131363077"/>
      <w:r>
        <w:t xml:space="preserve">A. Supplier Risk </w:t>
      </w:r>
      <w:proofErr w:type="spellStart"/>
      <w:r>
        <w:t>Managemen</w:t>
      </w:r>
      <w:bookmarkEnd w:id="15"/>
      <w:proofErr w:type="spellEnd"/>
    </w:p>
    <w:p w:rsidR="009A2CAA" w:rsidRDefault="009A2CAA" w:rsidP="009A2CAA">
      <w:pPr>
        <w:pStyle w:val="Heading2"/>
      </w:pPr>
      <w:bookmarkStart w:id="16" w:name="_Toc131363078"/>
      <w:r w:rsidRPr="009A2CAA">
        <w:t>B. Contract Risk Management</w:t>
      </w:r>
      <w:bookmarkEnd w:id="16"/>
    </w:p>
    <w:p w:rsidR="009A2CAA" w:rsidRPr="009A2CAA" w:rsidRDefault="009A2CAA" w:rsidP="009A2CAA">
      <w:pPr>
        <w:pStyle w:val="Heading2"/>
      </w:pPr>
      <w:bookmarkStart w:id="17" w:name="_Toc131363079"/>
      <w:r w:rsidRPr="009A2CAA">
        <w:t>C. Operational Risk Management</w:t>
      </w:r>
      <w:bookmarkEnd w:id="17"/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18" w:name="_Toc131363080"/>
      <w:r w:rsidRPr="009A2CAA">
        <w:rPr>
          <w:rFonts w:eastAsia="Times New Roman"/>
          <w:lang w:val="en-GB" w:eastAsia="fr-CH"/>
        </w:rPr>
        <w:t>VII. Procurement Process Optimization</w:t>
      </w:r>
      <w:bookmarkEnd w:id="18"/>
    </w:p>
    <w:p w:rsid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15171A"/>
          <w:sz w:val="30"/>
          <w:szCs w:val="30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plan for streamlining procurement processes, reducing manual intervention, and leveraging advanced technologies to automate procurement processes.</w:t>
      </w:r>
      <w:r w:rsidRPr="009A2CAA">
        <w:rPr>
          <w:rFonts w:ascii="inherit" w:eastAsia="Times New Roman" w:hAnsi="inherit" w:cs="Times New Roman"/>
          <w:color w:val="15171A"/>
          <w:sz w:val="30"/>
          <w:szCs w:val="30"/>
          <w:lang w:val="en-GB" w:eastAsia="fr-CH"/>
        </w:rPr>
        <w:br/>
      </w:r>
    </w:p>
    <w:p w:rsidR="009A2CAA" w:rsidRDefault="009A2CAA" w:rsidP="009A2CAA">
      <w:pPr>
        <w:pStyle w:val="Heading2"/>
      </w:pPr>
      <w:bookmarkStart w:id="19" w:name="_Toc131363081"/>
      <w:r w:rsidRPr="009A2CAA">
        <w:lastRenderedPageBreak/>
        <w:t>A. Streamlining Procurement Processes</w:t>
      </w:r>
      <w:bookmarkEnd w:id="19"/>
    </w:p>
    <w:p w:rsidR="009A2CAA" w:rsidRDefault="009A2CAA" w:rsidP="009A2CAA">
      <w:pPr>
        <w:pStyle w:val="Heading2"/>
      </w:pPr>
      <w:bookmarkStart w:id="20" w:name="_Toc131363082"/>
      <w:r w:rsidRPr="009A2CAA">
        <w:t>B. Reducing Manual Intervention</w:t>
      </w:r>
      <w:bookmarkEnd w:id="20"/>
    </w:p>
    <w:p w:rsidR="009A2CAA" w:rsidRPr="009A2CAA" w:rsidRDefault="009A2CAA" w:rsidP="009A2CAA">
      <w:pPr>
        <w:pStyle w:val="Heading2"/>
      </w:pPr>
      <w:bookmarkStart w:id="21" w:name="_Toc131363083"/>
      <w:r w:rsidRPr="009A2CAA">
        <w:t>C. Leveraging Advanced Technologies</w:t>
      </w:r>
      <w:bookmarkEnd w:id="21"/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22" w:name="_Toc131363084"/>
      <w:r w:rsidRPr="009A2CAA">
        <w:rPr>
          <w:rFonts w:eastAsia="Times New Roman"/>
          <w:lang w:val="en-GB" w:eastAsia="fr-CH"/>
        </w:rPr>
        <w:t>VIII. Supplier Relationship Management</w:t>
      </w:r>
      <w:bookmarkEnd w:id="22"/>
    </w:p>
    <w:p w:rsid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plan for developing strong relationships with key suppliers, including strategies for supplier performance management, innovation, and continuous improvement.</w:t>
      </w:r>
    </w:p>
    <w:p w:rsidR="009A2CAA" w:rsidRDefault="009A2CAA" w:rsidP="009A2CAA">
      <w:pPr>
        <w:shd w:val="clear" w:color="auto" w:fill="FFFFFF"/>
        <w:spacing w:after="0" w:line="384" w:lineRule="atLeast"/>
        <w:ind w:left="426"/>
        <w:textAlignment w:val="baseline"/>
      </w:pPr>
      <w:bookmarkStart w:id="23" w:name="_Toc131363085"/>
      <w:r w:rsidRPr="009A2CAA">
        <w:rPr>
          <w:rStyle w:val="Heading2Char"/>
          <w:rFonts w:eastAsiaTheme="minorHAnsi"/>
        </w:rPr>
        <w:t>A. Supplier Performance Management</w:t>
      </w:r>
      <w:bookmarkEnd w:id="23"/>
    </w:p>
    <w:p w:rsidR="009A2CAA" w:rsidRDefault="009A2CAA" w:rsidP="009A2CAA">
      <w:pPr>
        <w:pStyle w:val="Heading2"/>
      </w:pPr>
      <w:bookmarkStart w:id="24" w:name="_Toc131363086"/>
      <w:r w:rsidRPr="009A2CAA">
        <w:t>B. Innovation</w:t>
      </w:r>
      <w:bookmarkEnd w:id="24"/>
    </w:p>
    <w:p w:rsidR="009A2CAA" w:rsidRPr="009A2CAA" w:rsidRDefault="009A2CAA" w:rsidP="009A2CAA">
      <w:pPr>
        <w:pStyle w:val="Heading2"/>
      </w:pPr>
      <w:bookmarkStart w:id="25" w:name="_Toc131363087"/>
      <w:r w:rsidRPr="009A2CAA">
        <w:t>C. Continuous Improvement</w:t>
      </w:r>
      <w:bookmarkEnd w:id="25"/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26" w:name="_Toc131363088"/>
      <w:r w:rsidRPr="009A2CAA">
        <w:rPr>
          <w:rFonts w:eastAsia="Times New Roman"/>
          <w:lang w:val="en-GB" w:eastAsia="fr-CH"/>
        </w:rPr>
        <w:t>IX. Procurement Performance Monitoring and Reporting</w:t>
      </w:r>
      <w:bookmarkEnd w:id="26"/>
    </w:p>
    <w:p w:rsidR="009A2CAA" w:rsidRP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plan for monitoring and reporting on key performance indicators to track the impact of the procurement strategy on the organization's overall performance.</w:t>
      </w:r>
    </w:p>
    <w:p w:rsidR="009A2CAA" w:rsidRPr="009A2CAA" w:rsidRDefault="009A2CAA" w:rsidP="009A2CAA">
      <w:pPr>
        <w:pStyle w:val="Heading2"/>
      </w:pPr>
      <w:bookmarkStart w:id="27" w:name="_Toc131363089"/>
      <w:r w:rsidRPr="009A2CAA">
        <w:t>A. Key Performance Indicators</w:t>
      </w:r>
      <w:bookmarkEnd w:id="27"/>
    </w:p>
    <w:p w:rsidR="009A2CAA" w:rsidRPr="009A2CAA" w:rsidRDefault="009A2CAA" w:rsidP="009A2CAA">
      <w:pPr>
        <w:pStyle w:val="Heading2"/>
      </w:pPr>
      <w:bookmarkStart w:id="28" w:name="_Toc131363090"/>
      <w:r w:rsidRPr="009A2CAA">
        <w:t>B. Impact on Overall Performance</w:t>
      </w:r>
      <w:bookmarkEnd w:id="28"/>
    </w:p>
    <w:p w:rsidR="009A2CAA" w:rsidRPr="009A2CAA" w:rsidRDefault="009A2CAA" w:rsidP="009A2CAA">
      <w:pPr>
        <w:pStyle w:val="Heading1"/>
        <w:rPr>
          <w:rFonts w:eastAsia="Times New Roman"/>
          <w:lang w:val="en-GB" w:eastAsia="fr-CH"/>
        </w:rPr>
      </w:pPr>
      <w:bookmarkStart w:id="29" w:name="_Toc131363091"/>
      <w:r w:rsidRPr="009A2CAA">
        <w:rPr>
          <w:rFonts w:eastAsia="Times New Roman"/>
          <w:lang w:val="en-GB" w:eastAsia="fr-CH"/>
        </w:rPr>
        <w:t>X. Conclusion</w:t>
      </w:r>
      <w:bookmarkEnd w:id="29"/>
    </w:p>
    <w:p w:rsidR="009A2CAA" w:rsidRDefault="009A2CAA" w:rsidP="009A2CAA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</w:pPr>
      <w:r w:rsidRPr="009A2CAA">
        <w:rPr>
          <w:rFonts w:asciiTheme="majorHAnsi" w:eastAsia="Times New Roman" w:hAnsiTheme="majorHAnsi" w:cstheme="majorHAnsi"/>
          <w:color w:val="15171A"/>
          <w:sz w:val="28"/>
          <w:szCs w:val="28"/>
          <w:lang w:val="en-GB" w:eastAsia="fr-CH"/>
        </w:rPr>
        <w:t>A summary of the procurement strategy and expected outcomes, including how it aligns with the organization's overall goals and objectives.</w:t>
      </w:r>
    </w:p>
    <w:p w:rsidR="009A2CAA" w:rsidRDefault="009A2CAA" w:rsidP="009A2CAA">
      <w:pPr>
        <w:shd w:val="clear" w:color="auto" w:fill="FFFFFF"/>
        <w:spacing w:after="0" w:line="384" w:lineRule="atLeast"/>
        <w:ind w:firstLine="708"/>
        <w:textAlignment w:val="baseline"/>
        <w:rPr>
          <w:rStyle w:val="Heading2Char"/>
          <w:rFonts w:eastAsiaTheme="minorHAnsi"/>
        </w:rPr>
      </w:pPr>
      <w:bookmarkStart w:id="30" w:name="_Toc131363092"/>
      <w:r w:rsidRPr="009A2CAA">
        <w:rPr>
          <w:rStyle w:val="Heading2Char"/>
          <w:rFonts w:eastAsiaTheme="minorHAnsi"/>
        </w:rPr>
        <w:t>A. Procurement Strategy Summary</w:t>
      </w:r>
      <w:bookmarkEnd w:id="30"/>
    </w:p>
    <w:p w:rsidR="009A2CAA" w:rsidRDefault="009A2CAA" w:rsidP="009A2CAA">
      <w:pPr>
        <w:shd w:val="clear" w:color="auto" w:fill="FFFFFF"/>
        <w:spacing w:after="0" w:line="384" w:lineRule="atLeast"/>
        <w:ind w:firstLine="708"/>
        <w:textAlignment w:val="baseline"/>
        <w:rPr>
          <w:rStyle w:val="Heading2Char"/>
          <w:rFonts w:eastAsiaTheme="minorHAnsi"/>
        </w:rPr>
      </w:pPr>
      <w:bookmarkStart w:id="31" w:name="_Toc131363093"/>
      <w:r>
        <w:rPr>
          <w:rStyle w:val="Heading2Char"/>
          <w:rFonts w:eastAsiaTheme="minorHAnsi"/>
        </w:rPr>
        <w:t>B. Expected Outcomes</w:t>
      </w:r>
      <w:bookmarkEnd w:id="31"/>
    </w:p>
    <w:p w:rsidR="009A2CAA" w:rsidRPr="009A2CAA" w:rsidRDefault="009A2CAA" w:rsidP="009A2CAA">
      <w:pPr>
        <w:shd w:val="clear" w:color="auto" w:fill="FFFFFF"/>
        <w:spacing w:after="0" w:line="384" w:lineRule="atLeast"/>
        <w:ind w:left="720"/>
        <w:textAlignment w:val="baseline"/>
        <w:rPr>
          <w:rStyle w:val="Heading2Char"/>
          <w:rFonts w:eastAsiaTheme="minorHAnsi"/>
        </w:rPr>
      </w:pPr>
      <w:bookmarkStart w:id="32" w:name="_Toc131363094"/>
      <w:r w:rsidRPr="009A2CAA">
        <w:rPr>
          <w:rStyle w:val="Heading2Char"/>
          <w:rFonts w:eastAsiaTheme="minorHAnsi"/>
        </w:rPr>
        <w:t>C. Alignment with Overall Goals and Objectives</w:t>
      </w:r>
      <w:bookmarkEnd w:id="32"/>
    </w:p>
    <w:p w:rsidR="009A2CAA" w:rsidRPr="009A2CAA" w:rsidRDefault="009A2CAA">
      <w:pPr>
        <w:rPr>
          <w:lang w:val="en-GB"/>
        </w:rPr>
      </w:pPr>
    </w:p>
    <w:sectPr w:rsidR="009A2CAA" w:rsidRPr="009A2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A04"/>
    <w:multiLevelType w:val="multilevel"/>
    <w:tmpl w:val="14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E3686"/>
    <w:multiLevelType w:val="multilevel"/>
    <w:tmpl w:val="EE3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0030A"/>
    <w:multiLevelType w:val="multilevel"/>
    <w:tmpl w:val="7B10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0107D"/>
    <w:multiLevelType w:val="multilevel"/>
    <w:tmpl w:val="5890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31D78"/>
    <w:multiLevelType w:val="multilevel"/>
    <w:tmpl w:val="7E6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E51DFC"/>
    <w:multiLevelType w:val="multilevel"/>
    <w:tmpl w:val="0048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C2323"/>
    <w:multiLevelType w:val="multilevel"/>
    <w:tmpl w:val="5CC8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2113B0"/>
    <w:multiLevelType w:val="multilevel"/>
    <w:tmpl w:val="FDE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B4719B"/>
    <w:multiLevelType w:val="multilevel"/>
    <w:tmpl w:val="353E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500726"/>
    <w:multiLevelType w:val="multilevel"/>
    <w:tmpl w:val="FC6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AA"/>
    <w:rsid w:val="00270A35"/>
    <w:rsid w:val="009A2CAA"/>
    <w:rsid w:val="00E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6510"/>
  <w15:chartTrackingRefBased/>
  <w15:docId w15:val="{2E4C2A44-7C20-4CD8-BD1F-31275E0A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CAA"/>
    <w:pPr>
      <w:keepNext/>
      <w:keepLines/>
      <w:spacing w:before="40" w:after="0"/>
      <w:ind w:firstLine="426"/>
      <w:outlineLvl w:val="1"/>
    </w:pPr>
    <w:rPr>
      <w:rFonts w:asciiTheme="majorHAnsi" w:eastAsia="Times New Roman" w:hAnsiTheme="majorHAnsi" w:cstheme="majorBidi"/>
      <w:color w:val="2E74B5" w:themeColor="accent1" w:themeShade="BF"/>
      <w:sz w:val="26"/>
      <w:szCs w:val="26"/>
      <w:lang w:val="en-GB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2CAA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9A2CAA"/>
    <w:rPr>
      <w:rFonts w:asciiTheme="majorHAnsi" w:eastAsia="Times New Roman" w:hAnsiTheme="majorHAnsi" w:cstheme="majorBidi"/>
      <w:color w:val="2E74B5" w:themeColor="accent1" w:themeShade="BF"/>
      <w:sz w:val="26"/>
      <w:szCs w:val="26"/>
      <w:lang w:val="en-GB" w:eastAsia="fr-CH"/>
    </w:rPr>
  </w:style>
  <w:style w:type="paragraph" w:styleId="TOC1">
    <w:name w:val="toc 1"/>
    <w:basedOn w:val="Normal"/>
    <w:next w:val="Normal"/>
    <w:autoRedefine/>
    <w:uiPriority w:val="39"/>
    <w:unhideWhenUsed/>
    <w:rsid w:val="009A2C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2CA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A2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A563-9AE9-47BF-B66B-243FEB15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Luxembourg Institute of Health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Syagi</dc:creator>
  <cp:keywords/>
  <dc:description/>
  <cp:lastModifiedBy>Tarik Syagi</cp:lastModifiedBy>
  <cp:revision>1</cp:revision>
  <dcterms:created xsi:type="dcterms:W3CDTF">2023-04-02T19:18:00Z</dcterms:created>
  <dcterms:modified xsi:type="dcterms:W3CDTF">2023-04-02T19:24:00Z</dcterms:modified>
</cp:coreProperties>
</file>